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227F" w14:textId="77777777" w:rsidR="00C449CD" w:rsidRPr="005013E3" w:rsidRDefault="00C449CD" w:rsidP="00C449CD">
      <w:pPr>
        <w:pStyle w:val="P68B1DB1-Normal12"/>
        <w:shd w:val="clear" w:color="auto" w:fill="FFFFFF"/>
        <w:spacing w:before="100" w:beforeAutospacing="1" w:after="100" w:afterAutospacing="1"/>
      </w:pPr>
      <w:r w:rsidRPr="005013E3">
        <w:t xml:space="preserve">Kokkuvõte Põhja- ja Baltimaade riigispetsiifiliste tervisemõjude taustadokumentidest </w:t>
      </w:r>
    </w:p>
    <w:p w14:paraId="66E6EFF4" w14:textId="77777777" w:rsidR="00C449CD" w:rsidRDefault="00C449CD" w:rsidP="00C449CD">
      <w:pPr>
        <w:pStyle w:val="P68B1DB1-Normal2"/>
        <w:shd w:val="clear" w:color="auto" w:fill="FFFFFF"/>
        <w:spacing w:before="100" w:beforeAutospacing="1" w:after="100" w:afterAutospacing="1"/>
      </w:pPr>
      <w:r w:rsidRPr="005013E3">
        <w:t xml:space="preserve">NNR2023 komitee on välja töötanud taustahinnangud, mis käsitlevad riigispetsiifilist haiguskoormust, toitainete ja toidu tarbimist ning kehalist aktiivsust Põhja- ja Baltimaades ning toitumise rolli kehakaalu </w:t>
      </w:r>
      <w:r>
        <w:t>mõjutamisel</w:t>
      </w:r>
      <w:r w:rsidRPr="005013E3">
        <w:t xml:space="preserve">. </w:t>
      </w:r>
    </w:p>
    <w:p w14:paraId="63387C59" w14:textId="74EA9870" w:rsidR="00C449CD" w:rsidRPr="005013E3" w:rsidRDefault="00C449CD" w:rsidP="00C449CD">
      <w:pPr>
        <w:pStyle w:val="P68B1DB1-Normal2"/>
        <w:shd w:val="clear" w:color="auto" w:fill="FFFFFF"/>
        <w:spacing w:before="100" w:beforeAutospacing="1" w:after="100" w:afterAutospacing="1"/>
      </w:pPr>
      <w:r w:rsidRPr="005013E3">
        <w:t xml:space="preserve">Haiguskoormus Põhja- ja Baltimaades </w:t>
      </w:r>
    </w:p>
    <w:p w14:paraId="088FDD46" w14:textId="77777777" w:rsidR="00C449CD" w:rsidRDefault="00C449CD" w:rsidP="00C449CD">
      <w:pPr>
        <w:pStyle w:val="P68B1DB1-Normal2"/>
        <w:shd w:val="clear" w:color="auto" w:fill="FFFFFF"/>
        <w:spacing w:before="100" w:beforeAutospacing="1" w:after="100" w:afterAutospacing="1"/>
      </w:pPr>
      <w:r>
        <w:t xml:space="preserve">The </w:t>
      </w:r>
      <w:r w:rsidRPr="001B41F4">
        <w:rPr>
          <w:b/>
          <w:bCs/>
        </w:rPr>
        <w:t xml:space="preserve">Global </w:t>
      </w:r>
      <w:proofErr w:type="spellStart"/>
      <w:r w:rsidRPr="001B41F4">
        <w:rPr>
          <w:b/>
          <w:bCs/>
        </w:rPr>
        <w:t>Burden</w:t>
      </w:r>
      <w:proofErr w:type="spellEnd"/>
      <w:r w:rsidRPr="001B41F4">
        <w:rPr>
          <w:b/>
          <w:bCs/>
        </w:rPr>
        <w:t xml:space="preserve"> of </w:t>
      </w:r>
      <w:proofErr w:type="spellStart"/>
      <w:r w:rsidRPr="001B41F4">
        <w:rPr>
          <w:b/>
          <w:bCs/>
        </w:rPr>
        <w:t>Diseases</w:t>
      </w:r>
      <w:proofErr w:type="spellEnd"/>
      <w:r>
        <w:t xml:space="preserve">, </w:t>
      </w:r>
      <w:proofErr w:type="spellStart"/>
      <w:r>
        <w:t>Injuries</w:t>
      </w:r>
      <w:proofErr w:type="spellEnd"/>
      <w:r>
        <w:t xml:space="preserve">, and Risk </w:t>
      </w:r>
      <w:proofErr w:type="spellStart"/>
      <w:r>
        <w:t>Factors</w:t>
      </w:r>
      <w:proofErr w:type="spellEnd"/>
      <w:r>
        <w:t xml:space="preserve"> </w:t>
      </w:r>
      <w:proofErr w:type="spellStart"/>
      <w:r>
        <w:t>study</w:t>
      </w:r>
      <w:proofErr w:type="spellEnd"/>
      <w:r>
        <w:t xml:space="preserve"> (GBD) </w:t>
      </w:r>
    </w:p>
    <w:p w14:paraId="09075354" w14:textId="45131816" w:rsidR="00C449CD" w:rsidRPr="0044512F" w:rsidRDefault="00C449CD" w:rsidP="00C449CD">
      <w:pPr>
        <w:pStyle w:val="P68B1DB1-Normal2"/>
        <w:shd w:val="clear" w:color="auto" w:fill="FFFFFF"/>
        <w:spacing w:before="100" w:beforeAutospacing="1" w:after="100" w:afterAutospacing="1"/>
        <w:rPr>
          <w:color w:val="000000" w:themeColor="text1"/>
        </w:rPr>
      </w:pPr>
      <w:r w:rsidRPr="005013E3">
        <w:t xml:space="preserve">Haiguste, vigastuste ja riskitegurite ülemaailmse koormuse uuring (GBD) on kõige põhjalikum ülemaailmne vaatluslik epidemioloogiline uuring (GBD Risk </w:t>
      </w:r>
      <w:proofErr w:type="spellStart"/>
      <w:r w:rsidRPr="005013E3">
        <w:t>Factors</w:t>
      </w:r>
      <w:proofErr w:type="spellEnd"/>
      <w:r w:rsidRPr="005013E3">
        <w:t xml:space="preserve"> </w:t>
      </w:r>
      <w:proofErr w:type="spellStart"/>
      <w:r w:rsidRPr="005013E3">
        <w:t>Collaborators</w:t>
      </w:r>
      <w:proofErr w:type="spellEnd"/>
      <w:r w:rsidRPr="005013E3">
        <w:t>, 2020; Murray, 2022). Alates 1990. aastast on uuringut 12 korda uuendatud. Igal versioonil on suurenenud ulatus, uued andmeallikad ja on tehtud metodoloogil</w:t>
      </w:r>
      <w:r>
        <w:t>i</w:t>
      </w:r>
      <w:r w:rsidRPr="005013E3">
        <w:t xml:space="preserve">si edusamme. Viimane versioon, GBD 2021, hõlmas 286 surmapõhjust, 369 haigust ja vigastust ning 87 riskifaktorit, millest </w:t>
      </w:r>
      <w:r w:rsidRPr="00C449CD">
        <w:rPr>
          <w:b/>
          <w:bCs/>
        </w:rPr>
        <w:t>15 olid toitumistegurid</w:t>
      </w:r>
      <w:r w:rsidRPr="005013E3">
        <w:t>. Vanuse- ja soospetsiifilised hinnangud koostati 990 geograafilise üksuse kohta, mis hõlmavad kõiki Põhja- ja Balti riike igal aastal ajavahemikus 1990–</w:t>
      </w:r>
      <w:r w:rsidRPr="0044512F">
        <w:rPr>
          <w:color w:val="000000" w:themeColor="text1"/>
        </w:rPr>
        <w:t xml:space="preserve">2021. GBD, mille eesmärk on pakkuda võrdlevaid tulemusi, pakub kasulikku ressurssi toitumisega seotud haiguskoormuse suundumuste modelleerimiseks Põhjamaades ja Balti riikides. Samuti võib see anda riikidele ülevaate võimalusest vähendada haiguskoormust, keskendudes konkreetsetele toitumisriskidele. </w:t>
      </w:r>
    </w:p>
    <w:p w14:paraId="79146DB1" w14:textId="77777777" w:rsidR="00C449CD" w:rsidRPr="005013E3" w:rsidRDefault="00C449CD" w:rsidP="00C449CD">
      <w:pPr>
        <w:pStyle w:val="P68B1DB1-Normal2"/>
        <w:shd w:val="clear" w:color="auto" w:fill="FFFFFF"/>
        <w:spacing w:before="100" w:beforeAutospacing="1" w:after="100" w:afterAutospacing="1"/>
      </w:pPr>
      <w:proofErr w:type="spellStart"/>
      <w:r w:rsidRPr="005013E3">
        <w:t>NNR-i</w:t>
      </w:r>
      <w:proofErr w:type="spellEnd"/>
      <w:r w:rsidRPr="005013E3">
        <w:t xml:space="preserve"> komitee tellimusel valminud publikatsioonis </w:t>
      </w:r>
      <w:proofErr w:type="spellStart"/>
      <w:r w:rsidRPr="005013E3">
        <w:t>Clarsen</w:t>
      </w:r>
      <w:proofErr w:type="spellEnd"/>
      <w:r w:rsidRPr="005013E3">
        <w:t xml:space="preserve"> et </w:t>
      </w:r>
      <w:proofErr w:type="spellStart"/>
      <w:r w:rsidRPr="005013E3">
        <w:t>al</w:t>
      </w:r>
      <w:proofErr w:type="spellEnd"/>
      <w:r w:rsidRPr="005013E3">
        <w:t>. (</w:t>
      </w:r>
      <w:proofErr w:type="spellStart"/>
      <w:r w:rsidRPr="005013E3">
        <w:t>Clarsen</w:t>
      </w:r>
      <w:proofErr w:type="spellEnd"/>
      <w:r w:rsidRPr="005013E3">
        <w:t>, avaldamisel) hinnati toitumisega seotud haiguste ja toitumisriski tegurite koormust Põhjamaades ja Balti riikides aastatel 1990–2021. Eelkõige analüüsiti süstemaatiliselt projekti NNR2023 raames 2021. aasta GBD-</w:t>
      </w:r>
      <w:proofErr w:type="spellStart"/>
      <w:r w:rsidRPr="005013E3">
        <w:t>d.</w:t>
      </w:r>
      <w:proofErr w:type="spellEnd"/>
      <w:r w:rsidRPr="005013E3">
        <w:t xml:space="preserve"> 2021. aasta GBD uuringu integreerimine Põhjamaade toitumissoovituste kuuendasse väljaandesse võib olla eeskujuks teistele riikidele või piirkondadele nende riiklike toitumissoovituste ja suuniste väljatöötamisel. </w:t>
      </w:r>
    </w:p>
    <w:p w14:paraId="1FC117A3" w14:textId="77777777" w:rsidR="00C449CD" w:rsidRPr="00C449CD" w:rsidRDefault="00C449CD" w:rsidP="00C449CD">
      <w:pPr>
        <w:pStyle w:val="P68B1DB1-Normal2"/>
        <w:shd w:val="clear" w:color="auto" w:fill="FFFFFF"/>
        <w:spacing w:before="100" w:beforeAutospacing="1" w:after="100" w:afterAutospacing="1"/>
        <w:rPr>
          <w:b/>
          <w:bCs/>
        </w:rPr>
      </w:pPr>
      <w:r w:rsidRPr="005013E3">
        <w:t xml:space="preserve">Uuring näitab, et </w:t>
      </w:r>
      <w:r w:rsidRPr="00C449CD">
        <w:rPr>
          <w:b/>
          <w:bCs/>
        </w:rPr>
        <w:t xml:space="preserve">piirkonnas on toitumise riskiteguritega seotud märkimisväärne haiguskoormus, eriti südame isheemiatõve, II tüüpi diabeedi, insuldi ning käärsoole- ja pärasoolevähi tõttu. Madala täisteraviljasisaldusega dieet oli üheksast riigist kaheksas (sealhulgas Gröönimaal) kõrgeim toitumisriski tegur. Kõigis riikides põhjustasid madala täisteraviljasisaldusega dieedid viiendiku toidufaktoritest tingitud haiguste kogukoormusest ning see oli kõige suurem südame isheemiatõve ning käärsoole- ja pärasoolevähi põhjustaja. </w:t>
      </w:r>
    </w:p>
    <w:p w14:paraId="4DB49744" w14:textId="77777777" w:rsidR="00C449CD" w:rsidRPr="005013E3" w:rsidRDefault="00C449CD" w:rsidP="00C449CD">
      <w:pPr>
        <w:pStyle w:val="P68B1DB1-Normal2"/>
        <w:shd w:val="clear" w:color="auto" w:fill="FFFFFF"/>
        <w:spacing w:before="100" w:beforeAutospacing="1" w:after="100" w:afterAutospacing="1"/>
      </w:pPr>
      <w:r w:rsidRPr="00C449CD">
        <w:rPr>
          <w:b/>
          <w:bCs/>
        </w:rPr>
        <w:t>Kõrge töödeldud lihasisaldusega dieet oli kaheksast riigist viies suuruselt teine haigestumise põhjustaja ja kõigis riikides 4 suurima toitumisriski teguri hulgas, samal ajal kui madala puuviljasisaldusega dieet oli Põhja- ja Baltimaades kolmas toitumisega seotud haiguskoormuse põhjustaja. Baltimaadel on puuviljade tarbimise suurenemisest kõige rohkem kasu, sest Balti riikides oli suurem südame isheemiatõve ja insuldi esinemissagedus.</w:t>
      </w:r>
      <w:r w:rsidRPr="005013E3">
        <w:t xml:space="preserve"> Kogu maailmas on madal puuviljade tarbimine toitumisalane riskitegur vaevuste tõttu kaotatud eluaastate (DALY) puhul ning meie analüüsid näitavad, et see on oluline tegur ka Põhjamaades ja Balti riikides. </w:t>
      </w:r>
    </w:p>
    <w:p w14:paraId="241BD762" w14:textId="77777777" w:rsidR="00C449CD" w:rsidRPr="005013E3" w:rsidRDefault="00C449CD" w:rsidP="00C449CD">
      <w:pPr>
        <w:pStyle w:val="P68B1DB1-Normal2"/>
        <w:shd w:val="clear" w:color="auto" w:fill="FFFFFF"/>
        <w:spacing w:before="100" w:beforeAutospacing="1" w:after="100" w:afterAutospacing="1"/>
      </w:pPr>
      <w:r w:rsidRPr="00C449CD">
        <w:rPr>
          <w:b/>
          <w:bCs/>
        </w:rPr>
        <w:t>Kõrge punase liha sisaldusega dieet oli Põhja- ja Baltimaade DALY-de osas suuruselt neljas toitumisriski tegur.</w:t>
      </w:r>
      <w:r w:rsidRPr="005013E3">
        <w:t xml:space="preserve"> See oli teisel kohal Taanis ja Islandil ning kolmandal kohal Norras, Rootsis ja Soomes. </w:t>
      </w:r>
    </w:p>
    <w:p w14:paraId="5B228F9C" w14:textId="510D9CA0" w:rsidR="00C449CD" w:rsidRDefault="00C449CD" w:rsidP="00C449CD">
      <w:pPr>
        <w:pStyle w:val="P68B1DB1-Normal2"/>
        <w:shd w:val="clear" w:color="auto" w:fill="FFFFFF"/>
        <w:spacing w:before="100" w:beforeAutospacing="1" w:after="100" w:afterAutospacing="1"/>
      </w:pPr>
      <w:r w:rsidRPr="005013E3">
        <w:t xml:space="preserve">Projekt NNR2023 sisaldab põhjalikku toitumisalase kokkupuute hindamist Põhjamaades ja Balti riikides, sisaldab rohkem tervisenäitajaid ning sellel on laiem ulatus tõendite hindamisel kui GBD projektil. Kuigi kasutatakse mõnevõrra erinevaid meetodeid, on GBD taustadokumendi peamised järeldused täielikult kooskõlas NNR2023 aruande järeldustega ning kirjeldavad lisaks toitumisega seotud haiguskoormuse põhjustajaid Põhjamaades ja Balti riikides. </w:t>
      </w:r>
    </w:p>
    <w:p w14:paraId="06606EA2" w14:textId="77777777" w:rsidR="00C449CD" w:rsidRPr="005013E3" w:rsidRDefault="00C449CD" w:rsidP="00C449CD">
      <w:pPr>
        <w:pStyle w:val="P68B1DB1-Normal2"/>
        <w:shd w:val="clear" w:color="auto" w:fill="FFFFFF"/>
        <w:spacing w:before="100" w:beforeAutospacing="1" w:after="100" w:afterAutospacing="1"/>
      </w:pPr>
    </w:p>
    <w:p w14:paraId="57EC38AD" w14:textId="77777777" w:rsidR="00C449CD" w:rsidRPr="005013E3" w:rsidRDefault="00C449CD" w:rsidP="00C449CD">
      <w:pPr>
        <w:pStyle w:val="P68B1DB1-Normal10"/>
        <w:shd w:val="clear" w:color="auto" w:fill="FFFFFF"/>
        <w:spacing w:before="100" w:beforeAutospacing="1" w:after="100" w:afterAutospacing="1"/>
      </w:pPr>
      <w:r>
        <w:lastRenderedPageBreak/>
        <w:t>Kehaline</w:t>
      </w:r>
      <w:r w:rsidRPr="005013E3">
        <w:t xml:space="preserve"> aktiivsus Põhja- ja Baltimaades </w:t>
      </w:r>
    </w:p>
    <w:p w14:paraId="1C4718FF" w14:textId="77777777" w:rsidR="00C449CD" w:rsidRPr="005013E3" w:rsidRDefault="00C449CD" w:rsidP="00C449CD">
      <w:pPr>
        <w:pStyle w:val="P68B1DB1-Normal2"/>
        <w:shd w:val="clear" w:color="auto" w:fill="FFFFFF"/>
        <w:spacing w:before="100" w:beforeAutospacing="1" w:after="100" w:afterAutospacing="1"/>
      </w:pPr>
      <w:r w:rsidRPr="005013E3">
        <w:t xml:space="preserve">Teadlikkus sellest, kuidas </w:t>
      </w:r>
      <w:r>
        <w:t>kehaline</w:t>
      </w:r>
      <w:r w:rsidRPr="005013E3">
        <w:t xml:space="preserve"> aktiivsus ja </w:t>
      </w:r>
      <w:r>
        <w:t>in</w:t>
      </w:r>
      <w:r w:rsidRPr="005013E3">
        <w:t xml:space="preserve">aktiivsus on seotud tervisenäitajatega, on viimastel aastakümnetel märkimisväärselt paranenud. Koos teadlikkusega kehalise aktiivsuse kohta on esile kerkinud järjest rohkem tõendid istuva eluviisi ja halva tervise vaheliste seoste kohta, mille tulemusena on esitatud soovitused istuva eluviisi osas. Kehalise aktiivsuse tase mõjutab energiavajadust ja on seetõttu seotud toitumissoovitustega. </w:t>
      </w:r>
    </w:p>
    <w:p w14:paraId="6E96A170" w14:textId="77777777" w:rsidR="00C449CD" w:rsidRPr="005013E3" w:rsidRDefault="00C449CD" w:rsidP="00C449CD">
      <w:pPr>
        <w:pStyle w:val="P68B1DB1-Normal2"/>
        <w:shd w:val="clear" w:color="auto" w:fill="FFFFFF"/>
        <w:spacing w:before="100" w:beforeAutospacing="1" w:after="100" w:afterAutospacing="1"/>
      </w:pPr>
      <w:proofErr w:type="spellStart"/>
      <w:r w:rsidRPr="005013E3">
        <w:t>Borodulini</w:t>
      </w:r>
      <w:proofErr w:type="spellEnd"/>
      <w:r w:rsidRPr="005013E3">
        <w:t xml:space="preserve"> ja </w:t>
      </w:r>
      <w:proofErr w:type="spellStart"/>
      <w:r w:rsidRPr="005013E3">
        <w:t>Anderseni</w:t>
      </w:r>
      <w:proofErr w:type="spellEnd"/>
      <w:r w:rsidRPr="005013E3">
        <w:t xml:space="preserve"> koostatud taustadokumendi eesmärk oli 1) tutvustada kehalise aktiivsuse ja istuva eluviisi epidemioloogia terminoloogiat, 2) näidata asjakohaseid teaduslikke tõendeid kehalise aktiivsuse ja istuva eluviisi seoste kohta valitud tervisega seotud tulemuste osas ning 3) tutvustada Maailma Terviseorganisatsiooni (WHO) (</w:t>
      </w:r>
      <w:proofErr w:type="spellStart"/>
      <w:r w:rsidRPr="005013E3">
        <w:t>Borodulin</w:t>
      </w:r>
      <w:proofErr w:type="spellEnd"/>
      <w:r w:rsidRPr="005013E3">
        <w:t xml:space="preserve"> ja </w:t>
      </w:r>
      <w:proofErr w:type="spellStart"/>
      <w:r w:rsidRPr="005013E3">
        <w:t>Anderssen</w:t>
      </w:r>
      <w:proofErr w:type="spellEnd"/>
      <w:r w:rsidRPr="005013E3">
        <w:t xml:space="preserve">, avaldamisel) ülemaailmseid </w:t>
      </w:r>
      <w:r>
        <w:t>kehalise</w:t>
      </w:r>
      <w:r w:rsidRPr="005013E3">
        <w:t xml:space="preserve"> aktiivsuse ja istuva eluviisi suuniseid. Tervisega seotud tulemused hõlmavad südame-veresoonkonna haigustesse haigestumust ja suremust, kogusuremust, glükoosi reguleerimist, II tüüpi diabeeti, ülekaalulisust, rasvumist, vähki, luu- ja lihaskonna tervist, aju tervist ja elukvaliteeti. Need kajastuvad kõigis vanuserühmades ja mõnedes elanikkonnarühmades, nagu näiteks rasedad ja just sünnitanud naised. Lisaks arutati </w:t>
      </w:r>
      <w:r>
        <w:t>kehalise</w:t>
      </w:r>
      <w:r w:rsidRPr="005013E3">
        <w:t xml:space="preserve"> aktiivsuse taseme osas Põhjamaades määratud aja jooksul. Projekti NNR2023 jaoks ei töötatud välja ühiseid kehalise aktiivsuse suuniseid. Selle asemel on iga riik koostanud oma suunised, millele viidatakse artiklis ja mida kasutatakse koos ülemaailmsete WHO suunistega. </w:t>
      </w:r>
    </w:p>
    <w:p w14:paraId="23BC255F" w14:textId="63712EAB" w:rsidR="00C449CD" w:rsidRPr="005013E3" w:rsidRDefault="00C449CD" w:rsidP="00C449CD">
      <w:pPr>
        <w:pStyle w:val="P68B1DB1-Normal10"/>
        <w:shd w:val="clear" w:color="auto" w:fill="FFFFFF"/>
        <w:spacing w:before="100" w:beforeAutospacing="1" w:after="100" w:afterAutospacing="1"/>
      </w:pPr>
      <w:r w:rsidRPr="005013E3">
        <w:t>Toidu tarbimise ja toitainete roll kehakaalu</w:t>
      </w:r>
      <w:r>
        <w:t xml:space="preserve"> mõjutamisel</w:t>
      </w:r>
      <w:r w:rsidRPr="005013E3">
        <w:t xml:space="preserve"> </w:t>
      </w:r>
    </w:p>
    <w:p w14:paraId="03F285B5" w14:textId="77777777" w:rsidR="00C449CD" w:rsidRPr="005013E3" w:rsidRDefault="00C449CD" w:rsidP="00C449CD">
      <w:pPr>
        <w:pStyle w:val="P68B1DB1-Normal2"/>
        <w:shd w:val="clear" w:color="auto" w:fill="FFFFFF"/>
        <w:spacing w:before="100" w:beforeAutospacing="1" w:after="100" w:afterAutospacing="1"/>
      </w:pPr>
      <w:r w:rsidRPr="005013E3">
        <w:t xml:space="preserve">Rasvumine on krooniline haigus, mida seostatakse mitmete mittenakkuslike haiguste, sealhulgas südame-veresoonkonna haiguste, II tüüpi diabeedi, mõnede vähivormide ja krooniliste hingamisteede haiguste, sealhulgas obstruktiivse </w:t>
      </w:r>
      <w:proofErr w:type="spellStart"/>
      <w:r w:rsidRPr="005013E3">
        <w:t>uneapnoe</w:t>
      </w:r>
      <w:proofErr w:type="spellEnd"/>
      <w:r w:rsidRPr="005013E3">
        <w:t xml:space="preserve"> riski suurenemisega. 2016. aastal varieerus täiskasvanute ülekaalulisuse (sh rasvumise) standarditud levimus Põhja- ja Baltimaades 55 %-st (Taani) kuni 60 %-ni (Leedu), kusjuures rasvumise levimus oli 20 % (Taani) kuni 26 % (Leedu). WHO kasvuviidet </w:t>
      </w:r>
      <w:r w:rsidRPr="0044512F">
        <w:rPr>
          <w:color w:val="000000" w:themeColor="text1"/>
        </w:rPr>
        <w:t xml:space="preserve">kasutades oli ülekaalulisuse (sh rasvumise) esinemissagedus kooliealiste laste hulgas 23% (Eesti) kuni 31% (Island) ja noorukite seas 19% (Leedu) kuni 27% (Island). Hoolimata mitmest tegevuskavast rasvumise epideemia peatamiseks on ülekaalulisuse ja rasvumise levimus WHO Euroopa piirkonnas suurenenud ning ükski liikmesriik ei ole saavutamas eesmärki peatada </w:t>
      </w:r>
      <w:r w:rsidRPr="005013E3">
        <w:t xml:space="preserve">rasvumise kasv 2025. aastaks (Maailma Terviseorganisatsioon 2022). Islandi andmeid levimuse kohta on hiljuti ajakohastatud ning ülekaalulisuse (sealhulgas rasvumise) levimus kooliealiste laste ja noorukite seas on 25% (Islandi esmatasandi tervishoiu arengukeskus ja 2022. aasta pealinna piirkonna esmatasandi tervishoiuteenuste keskus). </w:t>
      </w:r>
    </w:p>
    <w:p w14:paraId="0A001C37" w14:textId="77777777" w:rsidR="00C449CD" w:rsidRPr="00C449CD" w:rsidRDefault="00C449CD" w:rsidP="00C449CD">
      <w:pPr>
        <w:pStyle w:val="P68B1DB1-Normal2"/>
        <w:shd w:val="clear" w:color="auto" w:fill="FFFFFF"/>
        <w:spacing w:before="100" w:beforeAutospacing="1" w:after="100" w:afterAutospacing="1"/>
        <w:rPr>
          <w:b/>
          <w:bCs/>
        </w:rPr>
      </w:pPr>
      <w:proofErr w:type="spellStart"/>
      <w:r w:rsidRPr="005013E3">
        <w:t>Hjelmesæthi</w:t>
      </w:r>
      <w:proofErr w:type="spellEnd"/>
      <w:r w:rsidRPr="005013E3">
        <w:t xml:space="preserve"> ja </w:t>
      </w:r>
      <w:proofErr w:type="spellStart"/>
      <w:r w:rsidRPr="005013E3">
        <w:t>Sjöbergi</w:t>
      </w:r>
      <w:proofErr w:type="spellEnd"/>
      <w:r w:rsidRPr="005013E3">
        <w:t xml:space="preserve"> (2022) publikatsiooni eesmärk oli selgitada praegusi teadmisi kehakaalu võimaliku rolli kohta DRV-de ja FBDG-de kehtestamisel ja ajakohastamisel projektis NNR2023. </w:t>
      </w:r>
      <w:r w:rsidRPr="00C449CD">
        <w:rPr>
          <w:b/>
          <w:bCs/>
        </w:rPr>
        <w:t xml:space="preserve">Nad täheldasid, et kogu tõendusmaterjal, mis põhineb vaatlus- ja kliiniliste uuringute </w:t>
      </w:r>
      <w:proofErr w:type="spellStart"/>
      <w:r w:rsidRPr="00C449CD">
        <w:rPr>
          <w:b/>
          <w:bCs/>
        </w:rPr>
        <w:t>SR-ide</w:t>
      </w:r>
      <w:proofErr w:type="spellEnd"/>
      <w:r w:rsidRPr="00C449CD">
        <w:rPr>
          <w:b/>
          <w:bCs/>
        </w:rPr>
        <w:t xml:space="preserve"> ja </w:t>
      </w:r>
      <w:proofErr w:type="spellStart"/>
      <w:r w:rsidRPr="00C449CD">
        <w:rPr>
          <w:b/>
          <w:bCs/>
        </w:rPr>
        <w:t>MA-de</w:t>
      </w:r>
      <w:proofErr w:type="spellEnd"/>
      <w:r w:rsidRPr="00C449CD">
        <w:rPr>
          <w:b/>
          <w:bCs/>
        </w:rPr>
        <w:t xml:space="preserve"> tulemustel, näitab, et muutused teatud toitainete (suhkur, kiudained ja rasv) ja/või toitude (suhkrumagustatud joogid, </w:t>
      </w:r>
      <w:proofErr w:type="spellStart"/>
      <w:r w:rsidRPr="00C449CD">
        <w:rPr>
          <w:b/>
          <w:bCs/>
        </w:rPr>
        <w:t>kiudaineterikas</w:t>
      </w:r>
      <w:proofErr w:type="spellEnd"/>
      <w:r w:rsidRPr="00C449CD">
        <w:rPr>
          <w:b/>
          <w:bCs/>
        </w:rPr>
        <w:t xml:space="preserve"> toit ja köögiviljad) tarbimises on sõltumatult seotud mõõdukate või väikeste lühiajaliste muutustega (0,3–1,3 kg) kogu elanikkonna kehakaalus (koos rasvumise/ülekaalulisusega või ilma), samas kui pikaajalised uuringud üldiselt puuduvad.</w:t>
      </w:r>
    </w:p>
    <w:p w14:paraId="41472AF2" w14:textId="77777777" w:rsidR="00C449CD" w:rsidRPr="005013E3" w:rsidRDefault="00C449CD" w:rsidP="00C449CD">
      <w:pPr>
        <w:pStyle w:val="P68B1DB1-Normal10"/>
        <w:shd w:val="clear" w:color="auto" w:fill="FFFFFF"/>
        <w:spacing w:before="100" w:beforeAutospacing="1" w:after="100" w:afterAutospacing="1"/>
      </w:pPr>
      <w:r w:rsidRPr="005013E3">
        <w:t xml:space="preserve">Toidu ja toitainete tarbimine Põhjamaades ja Balti riikides </w:t>
      </w:r>
    </w:p>
    <w:p w14:paraId="62474BE5" w14:textId="77777777" w:rsidR="00C449CD" w:rsidRPr="005013E3" w:rsidRDefault="00C449CD" w:rsidP="00C449CD">
      <w:pPr>
        <w:pStyle w:val="P68B1DB1-Normal2"/>
        <w:shd w:val="clear" w:color="auto" w:fill="FFFFFF"/>
        <w:spacing w:before="100" w:beforeAutospacing="1" w:after="100" w:afterAutospacing="1"/>
      </w:pPr>
      <w:r w:rsidRPr="005013E3">
        <w:t xml:space="preserve">Teadmised toidu ja toitainete tarbimisest Põhja- ja Baltimaades on olulised DRV-de ja FBDG-de kasutamiseks projekti NNR2023 raames. </w:t>
      </w:r>
    </w:p>
    <w:p w14:paraId="6437830E" w14:textId="77777777" w:rsidR="00C449CD" w:rsidRPr="005013E3" w:rsidRDefault="00C449CD" w:rsidP="00C449CD">
      <w:pPr>
        <w:pStyle w:val="P68B1DB1-Normal2"/>
        <w:shd w:val="clear" w:color="auto" w:fill="FFFFFF"/>
        <w:spacing w:before="100" w:beforeAutospacing="1" w:after="100" w:afterAutospacing="1"/>
      </w:pPr>
      <w:r w:rsidRPr="005013E3">
        <w:t xml:space="preserve">Teavet toitumisuuringute ja päeva keskmise tarbimise kohta saadi viimastest riiklikest toitumisuuringutest, mis olid sel hetkel kättesaadavad viies Põhjamaas ja kolmes Balti riigis (Lemming &amp; Pitsi, 2022). Mõlema soo kohta koguti täiskasvanud elanike osas laial skaalal andmeid toitainete tarbimise kohta (makrotoitained, 20 mikrotoitainet). </w:t>
      </w:r>
      <w:r w:rsidRPr="00C449CD">
        <w:rPr>
          <w:b/>
          <w:bCs/>
        </w:rPr>
        <w:t>Laiad toidugrupid olid järgmised: joogid, teravili, kartul, köögiviljad, puuviljad ja marjad, kala ja mereannid, liha ja lihatooted, piim ja piimatooted, juust, munad, rasvad ja õlid ning maiustused ja kondiitritooted.</w:t>
      </w:r>
      <w:r w:rsidRPr="005013E3">
        <w:t xml:space="preserve"> </w:t>
      </w:r>
    </w:p>
    <w:p w14:paraId="40AB9B62" w14:textId="77777777" w:rsidR="00C449CD" w:rsidRPr="005013E3" w:rsidRDefault="00C449CD" w:rsidP="00C449CD">
      <w:pPr>
        <w:pStyle w:val="P68B1DB1-Normal2"/>
        <w:shd w:val="clear" w:color="auto" w:fill="FFFFFF"/>
        <w:spacing w:before="100" w:beforeAutospacing="1" w:after="100" w:afterAutospacing="1"/>
      </w:pPr>
      <w:r w:rsidRPr="005013E3">
        <w:lastRenderedPageBreak/>
        <w:t>Eri riikides esines toidutarbimises ja toitainete tarbimises nii sarnasusi kui ka erinevusi, mis kajastusid mõnede toitude ja toitainete tarbimises, mis olid praegustest suunistest ja DRV-</w:t>
      </w:r>
      <w:proofErr w:type="spellStart"/>
      <w:r w:rsidRPr="005013E3">
        <w:t>dest</w:t>
      </w:r>
      <w:proofErr w:type="spellEnd"/>
      <w:r w:rsidRPr="005013E3">
        <w:t xml:space="preserve"> kas suuremad või väiksemad. Näiteks oli köögiviljade ja puuviljade tarbimine liiga väike, samal ajal kui punase ja töödeldud liha tarbimine oli liiga suur. Kõige märkimisväärsemad sarnasused ja erinevused riikide vahel toitainete tarbimise osas võrreldes soovitusliku tarbimiskogusega (RI) olid NNR2012-s järgmised: </w:t>
      </w:r>
    </w:p>
    <w:p w14:paraId="1274DCA4" w14:textId="77777777" w:rsidR="00C449CD" w:rsidRPr="005013E3" w:rsidRDefault="00C449CD" w:rsidP="00C449CD">
      <w:pPr>
        <w:pStyle w:val="P68B1DB1-Normal2"/>
        <w:numPr>
          <w:ilvl w:val="0"/>
          <w:numId w:val="1"/>
        </w:numPr>
        <w:shd w:val="clear" w:color="auto" w:fill="FFFFFF"/>
        <w:spacing w:before="100" w:beforeAutospacing="1" w:after="100" w:afterAutospacing="1"/>
      </w:pPr>
      <w:r w:rsidRPr="005013E3">
        <w:t>Makrotoitainete osakaal koguenergias oli Põhjamaade ja ka Eesti elanike seas sarnane ning jäi enamasti soovituste piiridesse. Kuna alkoholi ei arvestatud Läti ja Leedu energia kogutarbimises, oli rasvast toodetud energia osakaal teiste riikidega võrreldes suurem ja süsivesikute osakaal väiksem.</w:t>
      </w:r>
    </w:p>
    <w:p w14:paraId="2841317B" w14:textId="77777777" w:rsidR="00C449CD" w:rsidRPr="00C449CD" w:rsidRDefault="00C449CD" w:rsidP="00C449CD">
      <w:pPr>
        <w:pStyle w:val="P68B1DB1-Normal2"/>
        <w:numPr>
          <w:ilvl w:val="0"/>
          <w:numId w:val="1"/>
        </w:numPr>
        <w:shd w:val="clear" w:color="auto" w:fill="FFFFFF"/>
        <w:spacing w:before="100" w:beforeAutospacing="1" w:after="100" w:afterAutospacing="1"/>
        <w:rPr>
          <w:b/>
          <w:bCs/>
        </w:rPr>
      </w:pPr>
      <w:r w:rsidRPr="00C449CD">
        <w:rPr>
          <w:b/>
          <w:bCs/>
        </w:rPr>
        <w:t xml:space="preserve">Küllastunud rasvhapete osakaal oli kõikides riikides soovitustega võrreldes liiga suur. </w:t>
      </w:r>
    </w:p>
    <w:p w14:paraId="68141479" w14:textId="77777777" w:rsidR="00C449CD" w:rsidRPr="00C449CD" w:rsidRDefault="00C449CD" w:rsidP="00C449CD">
      <w:pPr>
        <w:pStyle w:val="P68B1DB1-Normal2"/>
        <w:numPr>
          <w:ilvl w:val="0"/>
          <w:numId w:val="1"/>
        </w:numPr>
        <w:shd w:val="clear" w:color="auto" w:fill="FFFFFF"/>
        <w:spacing w:before="100" w:beforeAutospacing="1" w:after="100" w:afterAutospacing="1"/>
        <w:rPr>
          <w:b/>
          <w:bCs/>
        </w:rPr>
      </w:pPr>
      <w:r w:rsidRPr="00C449CD">
        <w:rPr>
          <w:b/>
          <w:bCs/>
        </w:rPr>
        <w:t xml:space="preserve">Kiudainete tarbimine oli kõikides riikides soovitustest väiksem. </w:t>
      </w:r>
    </w:p>
    <w:p w14:paraId="5EC21422" w14:textId="77777777" w:rsidR="00C449CD" w:rsidRDefault="00C449CD" w:rsidP="00C449CD">
      <w:pPr>
        <w:pStyle w:val="P68B1DB1-Normal2"/>
        <w:shd w:val="clear" w:color="auto" w:fill="FFFFFF"/>
        <w:spacing w:before="100" w:beforeAutospacing="1" w:after="100" w:afterAutospacing="1"/>
      </w:pPr>
      <w:r w:rsidRPr="00C449CD">
        <w:t xml:space="preserve">Üldiselt oli enamiku </w:t>
      </w:r>
      <w:r w:rsidRPr="00C449CD">
        <w:rPr>
          <w:b/>
          <w:bCs/>
        </w:rPr>
        <w:t>vitamiinide ja mineraalainete keskmine tarbimine</w:t>
      </w:r>
      <w:r w:rsidRPr="00C449CD">
        <w:t xml:space="preserve"> Põhjamaades suurem kui RI, kuid </w:t>
      </w:r>
      <w:r w:rsidRPr="00C449CD">
        <w:rPr>
          <w:b/>
          <w:bCs/>
        </w:rPr>
        <w:t xml:space="preserve">mitte Balti riikides. </w:t>
      </w:r>
    </w:p>
    <w:p w14:paraId="65624929" w14:textId="69B1A2DE" w:rsidR="00C449CD" w:rsidRPr="005013E3" w:rsidRDefault="00C449CD" w:rsidP="00C449CD">
      <w:pPr>
        <w:pStyle w:val="P68B1DB1-Normal2"/>
        <w:shd w:val="clear" w:color="auto" w:fill="FFFFFF"/>
        <w:spacing w:before="100" w:beforeAutospacing="1" w:after="100" w:afterAutospacing="1"/>
      </w:pPr>
      <w:r w:rsidRPr="00C449CD">
        <w:t xml:space="preserve">Keskmine </w:t>
      </w:r>
      <w:r w:rsidRPr="00C449CD">
        <w:rPr>
          <w:b/>
          <w:bCs/>
        </w:rPr>
        <w:t xml:space="preserve">D-vitamiini ja </w:t>
      </w:r>
      <w:proofErr w:type="spellStart"/>
      <w:r w:rsidRPr="00C449CD">
        <w:rPr>
          <w:b/>
          <w:bCs/>
        </w:rPr>
        <w:t>folaadi</w:t>
      </w:r>
      <w:proofErr w:type="spellEnd"/>
      <w:r w:rsidRPr="00C449CD">
        <w:rPr>
          <w:b/>
          <w:bCs/>
        </w:rPr>
        <w:t xml:space="preserve"> tarbimine oli enamikus elanikkonnarühmades väike</w:t>
      </w:r>
      <w:r w:rsidRPr="00C449CD">
        <w:t>, samas kui keskmine naatriumi tarbimine oli liiga suur.</w:t>
      </w:r>
      <w:r w:rsidRPr="005013E3">
        <w:t xml:space="preserve"> Keskmine </w:t>
      </w:r>
      <w:r w:rsidRPr="00C449CD">
        <w:rPr>
          <w:b/>
          <w:bCs/>
        </w:rPr>
        <w:t xml:space="preserve">raua tarbimine oli kõikides riikides naiste seas madalam </w:t>
      </w:r>
      <w:r w:rsidRPr="005013E3">
        <w:t xml:space="preserve">kui RI. Tuginedes keskmistele kogustele, mis jäävad alla RI, ei ole siiski võimalik hinnata ainepuuduse levimust. Keskmist vajadust (AR) kasutatakse piisavuse hindamiseks ja see nõuab elanikkonna toitainete tarbimise jaotamist. Lisateavet RI ja </w:t>
      </w:r>
      <w:proofErr w:type="spellStart"/>
      <w:r w:rsidRPr="005013E3">
        <w:t>AR-i</w:t>
      </w:r>
      <w:proofErr w:type="spellEnd"/>
      <w:r w:rsidRPr="005013E3">
        <w:t xml:space="preserve"> kasutamise kohta leiate publikatsioonist Trolle et </w:t>
      </w:r>
      <w:proofErr w:type="spellStart"/>
      <w:r w:rsidRPr="005013E3">
        <w:t>al</w:t>
      </w:r>
      <w:proofErr w:type="spellEnd"/>
      <w:r w:rsidRPr="005013E3">
        <w:t xml:space="preserve">. (avaldamisel). </w:t>
      </w:r>
    </w:p>
    <w:p w14:paraId="069D969F" w14:textId="77777777" w:rsidR="00C449CD" w:rsidRPr="005013E3" w:rsidRDefault="00C449CD" w:rsidP="00C449CD">
      <w:pPr>
        <w:pStyle w:val="P68B1DB1-Normal2"/>
        <w:shd w:val="clear" w:color="auto" w:fill="FFFFFF"/>
        <w:spacing w:before="100" w:beforeAutospacing="1" w:after="100" w:afterAutospacing="1"/>
      </w:pPr>
      <w:r w:rsidRPr="005013E3">
        <w:t xml:space="preserve">Toitainete tarbimine ja eriti toidu tarbimine on Põhjamaades ja Baltimaades erinev toitumisharjumuste erinevuste tõttu, aga ka toitumise mõõtmise, toidu rühmitamise ja arvutamisprotseduuridega seotud tegurite tõttu igas riigis. Riikide edaspidiste võrdluste hõlbustamiseks oleks mõistlik ühtlustada toidugrupid ja aruandlusesse kaasatud vanuserühmad. </w:t>
      </w:r>
    </w:p>
    <w:p w14:paraId="49192301" w14:textId="77777777" w:rsidR="00C449CD" w:rsidRDefault="00C449CD"/>
    <w:sectPr w:rsidR="00C449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D52BD"/>
    <w:multiLevelType w:val="multilevel"/>
    <w:tmpl w:val="E55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87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CD"/>
    <w:rsid w:val="0044512F"/>
    <w:rsid w:val="00C4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4532"/>
  <w15:chartTrackingRefBased/>
  <w15:docId w15:val="{ED8C854F-4258-4C61-90EF-6126C08A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8B1DB1-Normal2">
    <w:name w:val="P68B1DB1-Normal2"/>
    <w:basedOn w:val="Normal"/>
    <w:rsid w:val="00C449CD"/>
    <w:pPr>
      <w:spacing w:after="0" w:line="240" w:lineRule="auto"/>
    </w:pPr>
    <w:rPr>
      <w:rFonts w:ascii="Calibri" w:eastAsia="Times New Roman" w:hAnsi="Calibri" w:cs="Calibri"/>
      <w:kern w:val="0"/>
      <w:sz w:val="20"/>
      <w:szCs w:val="20"/>
      <w:lang w:val="et-EE" w:eastAsia="en-GB"/>
      <w14:ligatures w14:val="none"/>
    </w:rPr>
  </w:style>
  <w:style w:type="paragraph" w:customStyle="1" w:styleId="P68B1DB1-Normal10">
    <w:name w:val="P68B1DB1-Normal10"/>
    <w:basedOn w:val="Normal"/>
    <w:rsid w:val="00C449CD"/>
    <w:pPr>
      <w:spacing w:after="0" w:line="240" w:lineRule="auto"/>
    </w:pPr>
    <w:rPr>
      <w:rFonts w:ascii="Calibri" w:eastAsia="Times New Roman" w:hAnsi="Calibri" w:cs="Calibri"/>
      <w:color w:val="444444"/>
      <w:kern w:val="0"/>
      <w:sz w:val="28"/>
      <w:szCs w:val="20"/>
      <w:lang w:val="et-EE" w:eastAsia="en-GB"/>
      <w14:ligatures w14:val="none"/>
    </w:rPr>
  </w:style>
  <w:style w:type="paragraph" w:customStyle="1" w:styleId="P68B1DB1-Normal12">
    <w:name w:val="P68B1DB1-Normal12"/>
    <w:basedOn w:val="Normal"/>
    <w:rsid w:val="00C449CD"/>
    <w:pPr>
      <w:spacing w:after="0" w:line="240" w:lineRule="auto"/>
    </w:pPr>
    <w:rPr>
      <w:rFonts w:ascii="Calibri" w:eastAsia="Times New Roman" w:hAnsi="Calibri" w:cs="Calibri"/>
      <w:b/>
      <w:color w:val="355687"/>
      <w:kern w:val="0"/>
      <w:sz w:val="36"/>
      <w:szCs w:val="20"/>
      <w:lang w:val="et-EE"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Soots</dc:creator>
  <cp:keywords/>
  <dc:description/>
  <cp:lastModifiedBy>Urmas Soots</cp:lastModifiedBy>
  <cp:revision>2</cp:revision>
  <dcterms:created xsi:type="dcterms:W3CDTF">2023-10-11T03:46:00Z</dcterms:created>
  <dcterms:modified xsi:type="dcterms:W3CDTF">2023-12-03T05:27:00Z</dcterms:modified>
</cp:coreProperties>
</file>